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4fcf9af88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 (fixe et/ou portable)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mail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Dénomination de l'entreprise responsable des travaux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Réf : Numéro de contrat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Objet : Application de la garantie décennale pour cause de malfaçons (ou) dommages sur le bâti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J’ai sollicité les services de votre entreprise pour un projet de (Nature du projet : construction neuve, travaux de rénovation, extension…) pour le logement situé (Coordonnées complètes). Vous avez effectué les travaux à partir du (Date de début du chantier) avec une livraison effective au (Date de fin des travaux).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Au (Date de constatation des malfaçons), j’ai pu constater des malfaçons, ainsi que des dommages, altérant l’intégrité du bâti. [Recenser de manière détaillée tous les problèmes rencontrés, l’état de dégradation, ainsi que les lieux où ils se situent]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vertu de l’article 1792 du Code civil, je souhaite donc recourir à la garantie décennale pour cause de malfaçons qui rendent mon logement impropre à sa destination. Je vous remercie de prendre les dispositions nécessaires pour effectuer les réparations après constatation d’un expert.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agréer, Madame, Monsieur,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6c47d35dc4e8a" /><Relationship Type="http://schemas.openxmlformats.org/officeDocument/2006/relationships/numbering" Target="/word/numbering.xml" Id="R1e1762520ffa4668" /><Relationship Type="http://schemas.openxmlformats.org/officeDocument/2006/relationships/settings" Target="/word/settings.xml" Id="R731c3e47f0b542a6" /></Relationships>
</file>